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22 127 vom 1. Februar 2024</w:t>
      </w:r>
    </w:p>
    <w:p>
      <w:r>
        <w:t>VS Kantonsgericht, 2024-02-01, FR</w:t>
      </w:r>
    </w:p>
    <w:p>
      <w:r>
        <w:rPr>
          <w:b/>
        </w:rPr>
        <w:t xml:space="preserve">Quelle: </w:t>
      </w:r>
      <w:r>
        <w:t>https://mcp.opencaselaw.ch/entscheid/vs_gerichte_S1 22 127</w:t>
      </w:r>
    </w:p>
    <w:p>
      <w:r>
        <w:t>FR: VS_GERICHTE S1 22 127 du 1 février 2024</w:t>
      </w:r>
    </w:p>
    <w:p>
      <w:r>
        <w:t>IT: VS_GERICHTE S1 22 127 del 1 febbraio 2024</w:t>
      </w:r>
    </w:p>
    <w:p>
      <w:pPr>
        <w:pStyle w:val="Heading2"/>
      </w:pPr>
      <w:r>
        <w:t>Regeste</w:t>
      </w:r>
    </w:p>
    <w:p>
      <w:r>
        <w:t>S1 22 127 ARRET DU 1ER FEVRIER 2024 Tribunal cantonal du Valais Cour des assurances sociales Composition : Candido Prada, président ; Jean-Bernard Fournier et Christophe Joris, juges ; Anaïs Mottiez, greffière en la cause X _________, recourante, agissant par sa curatrice, Y _________, et représentée par Inclusion Handicap, Lausanne contre OFFICE CANTONAL AI DU VALAIS, intimé (art. 28 et 28a LAI ; méthode mixte, revenu d’invalidité et abattement)</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29 août 2022, le recours à l’encontre de la décision du 12 juillet précédent a été interjeté dans le délai légal de trente jours compte tenu des féries d’été (art. 38 al. 4 et 60 LPGA), et devant l'instance compétente (art. 56 et 57 LPGA et 69 al. 1 let. a LAI ; art. 81a al. 1 LPJA). Il répond par ailleurs aux autres conditions formelles de recevabilité (art. 61 let. b LPGA), de sorte que la Cour doit entrer en matière.</w:t>
      </w:r>
    </w:p>
    <w:p>
      <w:r>
        <w:rPr>
          <w:b/>
        </w:rPr>
        <w:t>E. 2</w:t>
      </w:r>
    </w:p>
    <w:p>
      <w:r>
        <w:t>Le litige porte sur le droit de la recourante à une rente d’invalidité, plus particulièrement sur l’évaluation de son degré d’invalidité.</w:t>
      </w:r>
    </w:p>
    <w:p>
      <w:r>
        <w:rPr>
          <w:b/>
        </w:rPr>
        <w:t>E. 3</w:t>
      </w:r>
    </w:p>
    <w:p>
      <w:r>
        <w:t>LAI ; ATF 137 V 334, 130 V 393 et 125 V 146). Pour déterminer la méthode applicable au cas particulier, il faut non pas, malgré la teneur de l'article 8 alinéa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9C_64/2012 du 11 juillet 2012 consid. 5.2 in fine et la référence citée).</w:t>
      </w:r>
    </w:p>
    <w:p>
      <w:r>
        <w:rPr>
          <w:b/>
        </w:rPr>
        <w:t>E. 3.1</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sont reconnues l’existence d’une incapacité de travail d’au moins 40 % en moyenne durant une année et la présence d’une invalidité de 40 % au terme de cette année dite d’attente (art. 28 al. 1 let. b et c LAI). Il peut en outre prétendre</w:t>
      </w:r>
    </w:p>
    <w:p>
      <w:r>
        <w:t>- 9 - à une mesure de reclassement s’il est invalide à 20 % environ (ATF 139 V 399 consid. 5.3, 130 V 488 consid. 4.2 et 124 V 108 consid. 2b).</w:t>
      </w:r>
    </w:p>
    <w:p>
      <w:r>
        <w:rPr>
          <w:b/>
        </w:rPr>
        <w:t>E. 3.2</w:t>
      </w:r>
    </w:p>
    <w:p>
      <w:r>
        <w:t>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w:t>
      </w:r>
    </w:p>
    <w:p>
      <w:r>
        <w:rPr>
          <w:b/>
        </w:rPr>
        <w:t>E. 3.3</w:t>
      </w:r>
    </w:p>
    <w:p>
      <w:r>
        <w:t>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w:t>
      </w:r>
    </w:p>
    <w:p>
      <w:r>
        <w:t>- 10 - constitue une base fiable de décision, le juge ne saurait remettre en cause l'appréciation de l'auteur de l'enquête, sauf s'il est évident qu'elle repose sur des erreurs manifestes (ATF 128 V 93 ; arrêt du Tribunal fédéral 9C_693/2007 du 2 juillet 2008 consid. 3). Il convient enfin de préciser que les empêchements de la personne assurée doivent être évalués en tenant compte de l'aide que l'on peut exiger des proches au titre de l'obligation de réduire le dommage (ATF 130 V 97 consid. 3.2 ; arrêt du Tribunal fédéral I 561/06 du 26 juillet 2007 consid. 5.2.1).</w:t>
      </w:r>
    </w:p>
    <w:p>
      <w:r>
        <w:rPr>
          <w:b/>
        </w:rPr>
        <w:t>E. 3.4</w:t>
      </w:r>
    </w:p>
    <w:p>
      <w:r>
        <w:t>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 arrêts du Tribunal fédéral 8C_339/2014 du 22 mai 2015 consid. 4.2, 8C_873/2014 du 13 avril 2015 consid. 4.2.1 et les références citées).</w:t>
      </w:r>
    </w:p>
    <w:p>
      <w:r>
        <w:rPr>
          <w:b/>
        </w:rPr>
        <w:t>E. 3.5</w:t>
      </w:r>
    </w:p>
    <w:p>
      <w:r>
        <w:t>En l’occurrence, il ressort du rapport d’enquête pour ménagères et mixtes du 3 juillet 2020 (cf. pièce 179), établi par une enquêtrice spécialisée ayant connaissance de la situation, que la recourante a déclaré que, sans son atteinte à la santé, elle aurait recherché un emploi à 60% dans la vente, avec des horaires plus stables, afin de ne placer ses enfants que 3 jours par semaine. Ces propos sont corroborés par la demande de révision déposée le 19 février 2018 par l’assurée, dans laquelle cette dernière indiquait qu’elle n’était pas en mesure d’exercer un emploi à plein temps, car elle devait s’occuper de ses filles. Par ailleurs, l’intéressée a ajouté que lors de la naissance de sa seconde fille, elle avait été contrainte de diminuer son taux d’activité à 40%, mais qu’elle aurait préféré rester à 60% pour des raisons financières. Cela apparaît cohérent avec la situation économique de cette dernière, telle qu’elle ressort dudit rapport d’enquête (cf. pièce 179 p. 4). La Cour relève au surplus que si l’assurée avait souhaité travailler à 100% en bonne santé, elle aurait été parfaitement capable de l’indiquer au moment de la seconde enquête ménagère, dès lors qu’elle avait été en mesure de le faire lors de la première (cf. pièce 89) et que son état de santé mental ne s’était pas péjoré depuis, selon l’avis de la Dresse I _________ du 1er juin 2022, dont la valeur probante n’est à juste titre pas remise en cause par la recourante. Dans son premier recours céans du 13 janvier 2021, alors qu’elle n’était représentée que par sa curatrice, l’intéressée n’avait d’ailleurs pas contesté l’emploi de la méthode mixte par l’intimé. A la lecture du dossier, il apparaît bien plutôt que ce n’est que dans le cadre de la présente procédure, alors qu’elle est désormais conseillée par une avocate</w:t>
      </w:r>
    </w:p>
    <w:p>
      <w:r>
        <w:t>- 11 - pleinement consciente des conséquences juridiques du choix de la méthode d’évaluation de l’invalidité, que la recourante a soutenu qu’en bonne santé, elle aurait travaillé à 100%, si bien que la méthode générale devait s’appliquer. Or, conformément à la règle dite des « déclarations de la première heure » (cf. supra consid. 3.4), la préférence doit être donnée à la version relatée par la personne assurée alors qu’elle ignorait peut-être les conséquences juridiques. In casu, il convient donc de se baser, comme l’a fait l’intimé, sur les déclarations que l’assurée a faite à l’enquêtrice spécialisée le 3 juillet 2020, et de retenir qu’en bonne santé, elle aurait exercé une activité lucrative à 60%, afin de concilier sa vie professionnelle et sa vie de famille. Partant, c’est à juste titre que l’OAI a retenu un statut de femme active à 60% et de ménagère à 40%.</w:t>
      </w:r>
    </w:p>
    <w:p>
      <w:r>
        <w:rPr>
          <w:b/>
        </w:rPr>
        <w:t>E. 4</w:t>
      </w:r>
    </w:p>
    <w:p>
      <w:r>
        <w:t>octobre 2022 et réévalué le degré d’invalidité global de la recourante à 31.38%, en prenant en compte un revenu annuel sans invalidité de 83 500 fr. dès 2020. Cela étant, il apparaît que même avec cette nouvelle évaluation, un droit à une rente n’est pas ouvert, dans la mesure où le taux de 31.38% est inférieur au taux de 40% donnant droit à une telle prestation, et que ce taux de 31.38% n’est pas susceptible d’être augmenté dans une mesure suffisante pour l’octroi d’une rente (cf. infra consid. 5.3).</w:t>
      </w:r>
    </w:p>
    <w:p>
      <w:r>
        <w:rPr>
          <w:b/>
        </w:rPr>
        <w:t>E. 5</w:t>
      </w:r>
    </w:p>
    <w:p>
      <w:r>
        <w:t>Dans un troisième et dernier grief, la recourante soutient que l’intimé aurait dû tenir compte d’un abattement de 25% sur le salaire statistique en raison des limitations liées à son handicap.</w:t>
      </w:r>
    </w:p>
    <w:p>
      <w:r>
        <w:rPr>
          <w:b/>
        </w:rPr>
        <w:t>E. 5.1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La question de l’évaluation du revenu sans invalidité a été traitée ci-dessus (cf. supra consid. 4). Le revenu avec invalidité doit quant à lui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et 9C_843/2015 du 7 avril 2016 consid. 5.2).</w:t>
      </w:r>
    </w:p>
    <w:p>
      <w:r>
        <w:rPr>
          <w:b/>
        </w:rPr>
        <w:t>E. 5.2</w:t>
      </w:r>
    </w:p>
    <w:p>
      <w:r>
        <w:t>L’assuré peut, selon sa situation personnelle, voir ses perspectives salariales être réduites par des facteurs tels que le handicap, les années de service, la nationalité, le</w:t>
      </w:r>
    </w:p>
    <w:p>
      <w:r>
        <w:t>- 13 -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On précisera qu’une réduction au titre du handicap dépend de la nature des limitations fonctionnelles présentées et n'entre en considération que si, sur un marché du travail équilibré, il n'y a plus un éventail suffisamment large d'activités accessibles à l'assurée (arrêts du Tribunal fédéral 8C_608/2021 du 26 avril 2022 consid. 4.3.1, 8C_659/2021 du 17 février 2022 consid. 4.3.1 et 8C_118/2021 du 21 décembre 2021 consid. 6.3.1). En outre, il convient de faire une distinction entre la prise en compte des limitations fonctionnelles de l'assurée dans la détermination de sa capacité résiduelle de travail et l'impact que peuvent avoir ces limitations fonctionnelles sur ses perspectives salariales (arrêt du Tribunal fédéral 9C_1066/2009 du 22 septembre 2010 consid. 4.3). Une même circonstance ne peut en effet pas être prise en compte lors de la détermination de la capacité résiduelle de travail puis une nouvelle fois lors de la déduction du salaire d’invalide (arrêt du Tribunal fédéral 9C_286/2018 du 25 juin 2018 consid. 6.2.1 et les références).</w:t>
      </w:r>
    </w:p>
    <w:p>
      <w:r>
        <w:rPr>
          <w:b/>
        </w:rPr>
        <w:t>E. 5.3</w:t>
      </w:r>
    </w:p>
    <w:p>
      <w:r>
        <w:t>En l’occurrence, l’OAI a reconnu à la recourante une pleine capacité de travail, avec un rendement de 75%, dans n’importe quelle activité légère et adaptée, devant impérativement être simple et répétitive, avec des tâches clairement définies et un cadre de travail fixe, éviter des mises en responsabilité et la prise de décisions, éviter toute situation de négociation, avec des clients mais aussi avec des collègues, ne pas supposer d’échanges soutenus avec des clients et donner lieu à des contrôles accrus</w:t>
      </w:r>
    </w:p>
    <w:p>
      <w:r>
        <w:t>- 14 - de la part de la hiérarchie s’agissant de la qualité du travail réalisé et du bien-être au travail. L’intimé n’a en revanche retenu aucun abattement sur le revenu d’invalide de la recourante, soutenant que les limitations précitées avaient déjà été prises en compte dans l’évaluation de la capacité résiduelle de travail, fixée à 75% dans l’activité apprise d’assistante du commerce de détail. A la lecture du dossier, il appert que les limitations fonctionnelles présentées par l’assurée ont été prises en compte tant par le Dr N _________ dans son expertise du 27 mai 2022 que par la Dresse I _________ dans le rapport final SMR du 1er juin 2022, lesquels ont retenu une capacité de travail de 100%, avec un rendement de 75% s’expliquant par lesdites limitations. Appliquer en sus une déduction sur le salaire d’invalide en raison de ces limitations reviendrait ainsi à prendre en compte deux fois les mêmes circonstances. Par ailleurs, la recourante n’indique pas quel autre facteur de réduction serait pertinent en l’espèce. En tout état de cause, même s’il fallait appliquer un abattement maximal de 25% sur le salaire statistique, cela ne serait d’aucun secours à l’intéressée. En effet, en retenant une déduction de 25%, le revenu d’invalide de la recourante – au 20 août 2020, terme du délai d’attente d’une année – se monterait à 31 285 fr. 95, au lieu de 41 714 fr. 60. Après comparaison de ce revenu d’invalide avec le salaire qu’elle percevrait sans invalidité, soit 83 500 fr. (cf. annexe à la réponse du 4 octobre 2022), son taux d’invalidité global s’élèverait à 38.87 % (60% de 62.53% + 40% de 1.36%), soit un taux n’ouvrant pas droit à une rente d’invalidité. Partant, ce grief doit également être rejeté.</w:t>
      </w:r>
    </w:p>
    <w:p>
      <w:r>
        <w:rPr>
          <w:b/>
        </w:rPr>
        <w:t>E. 6</w:t>
      </w:r>
    </w:p>
    <w:p>
      <w:r>
        <w:t>Eu égard à ce qui précède, le recours, entièrement mal fondé, est rejeté et la décision du 12 juillet 2022 confirmée. 7.1 La présente procédure est onéreuse, dès lors que la procédure au fond a trait à une contestation portant sur l’octroi ou le refus de prestations au sens des articles 61 lettre fbis LPGA et 69 alinéa 1bis LAI (ATF 133 V 441 ; arrêt 9C_905/2007 du 15 avril 2008). Par décision présidentielle du 15 septembre 2022, la recourante a été mise au bénéfice de l'assistance judiciaire partielle pour la procédure de recours, limitée à la dispense de l’avance de frais et émoluments de justice. Les frais de justice, arrêtés à 500 fr., sur le vu du principe de la couverture des frais et de l’équivalence des prestations, sont mis à la charge de la recourante. L'indigence de cette dernière ayant néanmoins été reconnue, elle est dispensée de verser les frais de la cause mis à sa charge, lesquels sont provisoirement supportés par la caisse de l'Etat</w:t>
      </w:r>
    </w:p>
    <w:p>
      <w:r>
        <w:t>- 15 - du Valais. La recourante est toutefois rendue attentive au fait qu'elle devra rembourser cette caisse si elle devient ultérieurement en mesure de le faire (art. 10 LAJ ; RVJ 2000 p. 152). 7.2 Eu égard à l'issue de la cause, il n’est pas alloué de dépens (art. 61 let. g LPGA a contrario).</w:t>
      </w:r>
    </w:p>
    <w:p>
      <w:r>
        <w:t>Prononce</w:t>
      </w:r>
    </w:p>
    <w:p>
      <w:r>
        <w:t>1. Le recours est rejeté. 2. Il n’est pas alloué de dépens. 3. Les frais, par 500 francs, sont mis à la charge de X _________, mais sont provisoirement supportés par l’État du Valais au titre de l'assistance judiciaire. Sion, le 1er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